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A37D80">
        <w:rPr>
          <w:rFonts w:ascii="Arial" w:hAnsi="Arial"/>
        </w:rPr>
        <w:t xml:space="preserve"> Joanna Lee</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A37D80">
        <w:rPr>
          <w:rFonts w:ascii="Arial" w:hAnsi="Arial"/>
        </w:rPr>
        <w:t>Practices of Scientists</w:t>
      </w:r>
    </w:p>
    <w:p w:rsidR="005B75CA" w:rsidRDefault="005B75CA" w:rsidP="005B75CA">
      <w:pPr>
        <w:rPr>
          <w:rFonts w:ascii="Arial" w:hAnsi="Arial"/>
        </w:rPr>
      </w:pPr>
    </w:p>
    <w:p w:rsidR="002167E7"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r w:rsidR="00A37D80">
        <w:rPr>
          <w:rFonts w:ascii="Arial" w:hAnsi="Arial"/>
        </w:rPr>
        <w:t xml:space="preserve"> This activity was required and although late in the quarter, was a good introduction for the foundation of the </w:t>
      </w:r>
      <w:r w:rsidR="001A1079">
        <w:rPr>
          <w:rFonts w:ascii="Arial" w:hAnsi="Arial"/>
        </w:rPr>
        <w:t>course/unit.  It is always advantageous to see where the students’ views are prior to teaching science as a discipline so the teacher can see where they are coming from. The “image” they see of a scientist was eye opening to some extent for the teacher.</w:t>
      </w:r>
    </w:p>
    <w:p w:rsidR="00EC0229" w:rsidRDefault="00EC0229" w:rsidP="005B75CA">
      <w:pPr>
        <w:ind w:left="360" w:hanging="360"/>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BD3703" w:rsidRDefault="001A1079" w:rsidP="005B75CA">
      <w:pPr>
        <w:ind w:left="360" w:hanging="360"/>
        <w:rPr>
          <w:rFonts w:ascii="Arial" w:hAnsi="Arial"/>
        </w:rPr>
      </w:pPr>
      <w:r>
        <w:rPr>
          <w:rFonts w:ascii="Arial" w:hAnsi="Arial"/>
        </w:rPr>
        <w:t>Ultimately, the goal is to cover the 7</w:t>
      </w:r>
      <w:r w:rsidRPr="001A1079">
        <w:rPr>
          <w:rFonts w:ascii="Arial" w:hAnsi="Arial"/>
          <w:vertAlign w:val="superscript"/>
        </w:rPr>
        <w:t>th</w:t>
      </w:r>
      <w:r>
        <w:rPr>
          <w:rFonts w:ascii="Arial" w:hAnsi="Arial"/>
        </w:rPr>
        <w:t xml:space="preserve"> grade life science standards, then to develop the students’ interest into becoming life long learners with a curiosity to learn about the world around them using an investigative, problem solving strategy.  I would also like to see the student evolve through maturation in working independently so they are self-reliant while able to get along with others who are different from themselves.  To accomplish this, the class is taught using differentiation so all students get varied modes of instruction so all can succeed. I use standardized grading so students learn to turn in quality work the first time and learn to revise work that is does not meet their/parents’ standard.</w:t>
      </w:r>
    </w:p>
    <w:p w:rsidR="00EC0229" w:rsidRDefault="00EC0229" w:rsidP="005B75CA">
      <w:pPr>
        <w:ind w:left="360" w:hanging="360"/>
        <w:rPr>
          <w:rFonts w:ascii="Arial" w:hAnsi="Arial"/>
        </w:rPr>
      </w:pPr>
    </w:p>
    <w:p w:rsidR="00BD3703" w:rsidRDefault="00EC0229" w:rsidP="005B75CA">
      <w:pPr>
        <w:ind w:left="360" w:hanging="360"/>
        <w:rPr>
          <w:rFonts w:ascii="Arial" w:hAnsi="Arial"/>
        </w:rPr>
      </w:pPr>
      <w:r>
        <w:rPr>
          <w:rFonts w:ascii="Arial" w:hAnsi="Arial"/>
        </w:rPr>
        <w:t>How does this activity tie into your classroom learning goals?</w:t>
      </w:r>
    </w:p>
    <w:p w:rsidR="00EC0229" w:rsidRDefault="001A1079" w:rsidP="005B75CA">
      <w:pPr>
        <w:ind w:left="360" w:hanging="360"/>
        <w:rPr>
          <w:rFonts w:ascii="Arial" w:hAnsi="Arial"/>
        </w:rPr>
      </w:pPr>
      <w:r>
        <w:rPr>
          <w:rFonts w:ascii="Arial" w:hAnsi="Arial"/>
        </w:rPr>
        <w:t xml:space="preserve">Students use their right brain to draw their image of a scientist and share their input/knowledge on what scientists do in their job and their characteristics. Students work in groups so they can contribute together so they succeed in the activity in case they are unsure of the answer.  This activity used tapped on their background of shows they watch about problem or investigative shows and encouraged them to share </w:t>
      </w:r>
      <w:r w:rsidR="00B81BAC">
        <w:rPr>
          <w:rFonts w:ascii="Arial" w:hAnsi="Arial"/>
        </w:rPr>
        <w:t>science topics.</w:t>
      </w:r>
    </w:p>
    <w:p w:rsidR="00955E1D" w:rsidRDefault="00955E1D" w:rsidP="005B75CA">
      <w:pPr>
        <w:ind w:left="360" w:hanging="360"/>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r w:rsidR="0034483D">
        <w:rPr>
          <w:rFonts w:ascii="Arial" w:hAnsi="Arial"/>
        </w:rPr>
        <w:t xml:space="preserve"> Sept. 14, 2012, Sept. 17, 2012</w:t>
      </w:r>
    </w:p>
    <w:p w:rsidR="00955E1D" w:rsidRDefault="00955E1D" w:rsidP="005B75CA">
      <w:pPr>
        <w:ind w:left="360" w:hanging="360"/>
        <w:rPr>
          <w:rFonts w:ascii="Arial" w:hAnsi="Arial"/>
        </w:rPr>
      </w:pPr>
    </w:p>
    <w:p w:rsidR="007975A3" w:rsidRPr="00955E1D"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5034DF">
        <w:rPr>
          <w:rFonts w:ascii="Arial" w:hAnsi="Arial"/>
        </w:rPr>
        <w:t xml:space="preserve">s this lesson will address </w:t>
      </w:r>
    </w:p>
    <w:p w:rsidR="00BD3703" w:rsidRDefault="00BD3703" w:rsidP="00636BAD">
      <w:pPr>
        <w:rPr>
          <w:rFonts w:ascii="Arial" w:hAnsi="Arial"/>
        </w:rPr>
      </w:pPr>
    </w:p>
    <w:p w:rsidR="00EE1BBE" w:rsidRDefault="00EE1BBE" w:rsidP="00636BAD">
      <w:pPr>
        <w:rPr>
          <w:rFonts w:ascii="Arial" w:hAnsi="Arial"/>
        </w:rPr>
      </w:pPr>
    </w:p>
    <w:p w:rsidR="008C5803" w:rsidRDefault="008C5803"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34483D" w:rsidRDefault="0034483D" w:rsidP="0034483D">
      <w:pPr>
        <w:pStyle w:val="ListParagraph"/>
        <w:rPr>
          <w:rFonts w:ascii="Arial" w:hAnsi="Arial"/>
        </w:rPr>
      </w:pPr>
      <w:r>
        <w:rPr>
          <w:rFonts w:ascii="Arial" w:hAnsi="Arial"/>
        </w:rPr>
        <w:t>This lesson lays the foundation for students to understand how scientists think as well as describe who scientists are.  It gets students to share what background they have on where scientists work and hopefully, lead to ocean related careers as a beginning to this unit.</w:t>
      </w:r>
    </w:p>
    <w:p w:rsidR="008C5803" w:rsidRDefault="008C5803" w:rsidP="00955E1D">
      <w:pPr>
        <w:ind w:left="360"/>
        <w:rPr>
          <w:rFonts w:ascii="Arial" w:hAnsi="Arial"/>
        </w:rPr>
      </w:pPr>
    </w:p>
    <w:p w:rsidR="00BD3703" w:rsidRDefault="00BD3703" w:rsidP="00955E1D">
      <w:pPr>
        <w:ind w:left="360"/>
        <w:rPr>
          <w:rFonts w:ascii="Arial" w:hAnsi="Arial"/>
        </w:rPr>
      </w:pPr>
    </w:p>
    <w:p w:rsidR="00BD3703" w:rsidRDefault="00BD3703" w:rsidP="00955E1D">
      <w:pPr>
        <w:ind w:left="360"/>
        <w:rPr>
          <w:rFonts w:ascii="Arial" w:hAnsi="Arial"/>
        </w:rPr>
      </w:pP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BD3703" w:rsidRDefault="0034483D" w:rsidP="00BD3703">
      <w:pPr>
        <w:ind w:left="360"/>
        <w:rPr>
          <w:rFonts w:ascii="Arial" w:hAnsi="Arial"/>
        </w:rPr>
      </w:pPr>
      <w:r>
        <w:rPr>
          <w:rFonts w:ascii="Arial" w:hAnsi="Arial"/>
        </w:rPr>
        <w:t>Tell students ahead of time that this is a brainstorming activity with no one correct answer.  Everyone has something to share based on their background and that participation is encouraged and required.  Also, one extra point is given to the group with the most practices and demeanors listed.</w:t>
      </w:r>
    </w:p>
    <w:p w:rsidR="0034483D" w:rsidRDefault="0034483D" w:rsidP="00BD3703">
      <w:pPr>
        <w:ind w:left="360"/>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EC0229" w:rsidRDefault="0034483D" w:rsidP="0034483D">
      <w:pPr>
        <w:pStyle w:val="ListParagraph"/>
        <w:rPr>
          <w:rFonts w:ascii="Arial" w:hAnsi="Arial"/>
        </w:rPr>
      </w:pPr>
      <w:r>
        <w:rPr>
          <w:rFonts w:ascii="Arial" w:hAnsi="Arial"/>
        </w:rPr>
        <w:t>Vocabulary of the term “practices” and “demeanors” seemed to be the most challenging struggle for teaching this lesson. I defined “practices” as “what scientists do” in their job and “demeanors” as “characteristics” or “values” of scientists.  That adjustment helped students to formulate lists of words that were needed for the lesson. At the end of the lesson, the drawings were quickly shared with the class which allowed students to enjoy the activity more as students got to see what others had drawn and viewed as how they see scientists.</w:t>
      </w: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Curiosity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Induction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8C5803" w:rsidRDefault="00C8796B" w:rsidP="00C8796B">
      <w:pPr>
        <w:pStyle w:val="ListParagraph"/>
        <w:rPr>
          <w:rFonts w:ascii="Arial" w:hAnsi="Arial"/>
        </w:rPr>
      </w:pPr>
      <w:r>
        <w:rPr>
          <w:rFonts w:ascii="Arial" w:hAnsi="Arial"/>
        </w:rPr>
        <w:t xml:space="preserve">Answering a question with </w:t>
      </w:r>
      <w:r w:rsidR="00990B90">
        <w:rPr>
          <w:rFonts w:ascii="Arial" w:hAnsi="Arial"/>
        </w:rPr>
        <w:t>a question</w:t>
      </w:r>
      <w:r>
        <w:rPr>
          <w:rFonts w:ascii="Arial" w:hAnsi="Arial"/>
        </w:rPr>
        <w:t xml:space="preserve"> so students think about their own question. Ask further probing questions of scientists in their environment, community, or surroundings who use the skills used in “investigating.”</w:t>
      </w:r>
    </w:p>
    <w:p w:rsidR="00EC0229" w:rsidRDefault="00EC0229" w:rsidP="00EC0229">
      <w:pPr>
        <w:rPr>
          <w:rFonts w:ascii="Arial" w:hAnsi="Arial"/>
        </w:rPr>
      </w:pPr>
    </w:p>
    <w:p w:rsidR="00EC0229" w:rsidRPr="00EC0229" w:rsidRDefault="00EC0229" w:rsidP="00EC0229">
      <w:pPr>
        <w:rPr>
          <w:rFonts w:ascii="Arial" w:hAnsi="Arial"/>
        </w:rPr>
      </w:pP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p>
    <w:p w:rsidR="008C5803" w:rsidRDefault="00C8796B" w:rsidP="002470E8">
      <w:pPr>
        <w:pStyle w:val="ListParagraph"/>
        <w:rPr>
          <w:rFonts w:ascii="Arial" w:hAnsi="Arial"/>
        </w:rPr>
      </w:pPr>
      <w:r>
        <w:rPr>
          <w:rFonts w:ascii="Arial" w:hAnsi="Arial"/>
        </w:rPr>
        <w:t>More formative assessment like exit passes, bu</w:t>
      </w:r>
      <w:r w:rsidR="002470E8">
        <w:rPr>
          <w:rFonts w:ascii="Arial" w:hAnsi="Arial"/>
        </w:rPr>
        <w:t>ddy checks, or hand/fist raises would be used.</w:t>
      </w:r>
    </w:p>
    <w:p w:rsidR="00EC0229" w:rsidRDefault="00EC0229" w:rsidP="00EC0229">
      <w:pPr>
        <w:rPr>
          <w:rFonts w:ascii="Arial" w:hAnsi="Arial"/>
        </w:rPr>
      </w:pPr>
    </w:p>
    <w:p w:rsidR="00EC0229" w:rsidRDefault="00EC0229" w:rsidP="00EC0229">
      <w:pPr>
        <w:rPr>
          <w:rFonts w:ascii="Arial" w:hAnsi="Arial"/>
        </w:rPr>
      </w:pPr>
    </w:p>
    <w:p w:rsidR="00EC0229" w:rsidRDefault="00EC0229" w:rsidP="00EC0229">
      <w:pPr>
        <w:rPr>
          <w:rFonts w:ascii="Arial" w:hAnsi="Arial"/>
        </w:rPr>
      </w:pPr>
    </w:p>
    <w:p w:rsidR="00C71326"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990B90" w:rsidRDefault="00990B90" w:rsidP="00EC0229">
      <w:pPr>
        <w:rPr>
          <w:rFonts w:ascii="Arial" w:hAnsi="Arial"/>
        </w:rPr>
      </w:pPr>
    </w:p>
    <w:p w:rsidR="00990B90" w:rsidRPr="00EC0229" w:rsidRDefault="00990B90" w:rsidP="00EC0229">
      <w:pPr>
        <w:rPr>
          <w:rFonts w:ascii="Arial" w:hAnsi="Arial"/>
        </w:rPr>
      </w:pPr>
      <w:r>
        <w:rPr>
          <w:rFonts w:ascii="Arial" w:hAnsi="Arial"/>
        </w:rPr>
        <w:t>None</w:t>
      </w:r>
    </w:p>
    <w:sectPr w:rsidR="00990B90"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D46" w:rsidRDefault="005A5D46" w:rsidP="00B33561">
      <w:r>
        <w:separator/>
      </w:r>
    </w:p>
  </w:endnote>
  <w:endnote w:type="continuationSeparator" w:id="0">
    <w:p w:rsidR="005A5D46" w:rsidRDefault="005A5D46" w:rsidP="00B33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8C5803" w:rsidP="008C5803">
    <w:pPr>
      <w:pStyle w:val="Footer"/>
      <w:ind w:left="8640" w:hanging="270"/>
      <w:jc w:val="center"/>
    </w:pPr>
    <w:r w:rsidRPr="00FA779E">
      <w:rPr>
        <w:rFonts w:ascii="Arial" w:hAnsi="Arial"/>
        <w:sz w:val="20"/>
      </w:rPr>
      <w:t>p.</w:t>
    </w:r>
    <w:r w:rsidR="00B33561" w:rsidRPr="00FA779E">
      <w:rPr>
        <w:rStyle w:val="PageNumber"/>
        <w:rFonts w:ascii="Arial" w:hAnsi="Arial"/>
        <w:sz w:val="20"/>
      </w:rPr>
      <w:fldChar w:fldCharType="begin"/>
    </w:r>
    <w:r w:rsidRPr="00FA779E">
      <w:rPr>
        <w:rStyle w:val="PageNumber"/>
        <w:rFonts w:ascii="Arial" w:hAnsi="Arial"/>
        <w:sz w:val="20"/>
      </w:rPr>
      <w:instrText xml:space="preserve"> PAGE </w:instrText>
    </w:r>
    <w:r w:rsidR="00B33561" w:rsidRPr="00FA779E">
      <w:rPr>
        <w:rStyle w:val="PageNumber"/>
        <w:rFonts w:ascii="Arial" w:hAnsi="Arial"/>
        <w:sz w:val="20"/>
      </w:rPr>
      <w:fldChar w:fldCharType="separate"/>
    </w:r>
    <w:r w:rsidR="00990B90">
      <w:rPr>
        <w:rStyle w:val="PageNumber"/>
        <w:rFonts w:ascii="Arial" w:hAnsi="Arial"/>
        <w:noProof/>
        <w:sz w:val="20"/>
      </w:rPr>
      <w:t>3</w:t>
    </w:r>
    <w:r w:rsidR="00B33561" w:rsidRPr="00FA779E">
      <w:rPr>
        <w:rStyle w:val="PageNumber"/>
        <w:rFonts w:ascii="Arial" w:hAnsi="Arial"/>
        <w:sz w:val="20"/>
      </w:rPr>
      <w:fldChar w:fldCharType="end"/>
    </w:r>
    <w:r w:rsidRPr="00FA779E">
      <w:rPr>
        <w:rStyle w:val="PageNumber"/>
        <w:rFonts w:ascii="Arial" w:hAnsi="Arial"/>
        <w:sz w:val="20"/>
      </w:rPr>
      <w:t xml:space="preserve"> of </w:t>
    </w:r>
    <w:r w:rsidR="00B33561"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B33561" w:rsidRPr="00FA779E">
      <w:rPr>
        <w:rStyle w:val="PageNumber"/>
        <w:rFonts w:ascii="Arial" w:hAnsi="Arial"/>
        <w:sz w:val="20"/>
      </w:rPr>
      <w:fldChar w:fldCharType="separate"/>
    </w:r>
    <w:r w:rsidR="00990B90">
      <w:rPr>
        <w:rStyle w:val="PageNumber"/>
        <w:rFonts w:ascii="Arial" w:hAnsi="Arial"/>
        <w:noProof/>
        <w:sz w:val="20"/>
      </w:rPr>
      <w:t>3</w:t>
    </w:r>
    <w:r w:rsidR="00B33561"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D46" w:rsidRDefault="005A5D46" w:rsidP="00B33561">
      <w:r>
        <w:separator/>
      </w:r>
    </w:p>
  </w:footnote>
  <w:footnote w:type="continuationSeparator" w:id="0">
    <w:p w:rsidR="005A5D46" w:rsidRDefault="005A5D46" w:rsidP="00B33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30736"/>
    <w:rsid w:val="00050EDD"/>
    <w:rsid w:val="000745E4"/>
    <w:rsid w:val="0008392C"/>
    <w:rsid w:val="000916C9"/>
    <w:rsid w:val="000B3C7C"/>
    <w:rsid w:val="000B5016"/>
    <w:rsid w:val="000E09C1"/>
    <w:rsid w:val="000F45D5"/>
    <w:rsid w:val="00105514"/>
    <w:rsid w:val="00121EF2"/>
    <w:rsid w:val="001535AD"/>
    <w:rsid w:val="0015658E"/>
    <w:rsid w:val="00167F37"/>
    <w:rsid w:val="00175511"/>
    <w:rsid w:val="00181328"/>
    <w:rsid w:val="00181EF0"/>
    <w:rsid w:val="001A1079"/>
    <w:rsid w:val="001B6843"/>
    <w:rsid w:val="001D0BAC"/>
    <w:rsid w:val="001D1FFB"/>
    <w:rsid w:val="001D5ADE"/>
    <w:rsid w:val="001E4C0E"/>
    <w:rsid w:val="002028DE"/>
    <w:rsid w:val="002167E7"/>
    <w:rsid w:val="0022506B"/>
    <w:rsid w:val="00230C19"/>
    <w:rsid w:val="00237AED"/>
    <w:rsid w:val="002470E8"/>
    <w:rsid w:val="0025201C"/>
    <w:rsid w:val="0027087E"/>
    <w:rsid w:val="002A2ACA"/>
    <w:rsid w:val="002C2559"/>
    <w:rsid w:val="002F07DE"/>
    <w:rsid w:val="002F08AE"/>
    <w:rsid w:val="002F0AFC"/>
    <w:rsid w:val="002F7C5A"/>
    <w:rsid w:val="00327794"/>
    <w:rsid w:val="0034483D"/>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5D46"/>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5544D"/>
    <w:rsid w:val="0086150C"/>
    <w:rsid w:val="008C2A60"/>
    <w:rsid w:val="008C4012"/>
    <w:rsid w:val="008C5803"/>
    <w:rsid w:val="00903009"/>
    <w:rsid w:val="00904A84"/>
    <w:rsid w:val="009057F4"/>
    <w:rsid w:val="009075D6"/>
    <w:rsid w:val="00915FE1"/>
    <w:rsid w:val="00944F88"/>
    <w:rsid w:val="00955E1D"/>
    <w:rsid w:val="0096201C"/>
    <w:rsid w:val="00970E31"/>
    <w:rsid w:val="00985765"/>
    <w:rsid w:val="00990B90"/>
    <w:rsid w:val="009A7CDD"/>
    <w:rsid w:val="009B2A27"/>
    <w:rsid w:val="009B68DA"/>
    <w:rsid w:val="009C1476"/>
    <w:rsid w:val="009C344D"/>
    <w:rsid w:val="009C38AD"/>
    <w:rsid w:val="009F1A17"/>
    <w:rsid w:val="00A24A9F"/>
    <w:rsid w:val="00A37D80"/>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3561"/>
    <w:rsid w:val="00B34CAD"/>
    <w:rsid w:val="00B66630"/>
    <w:rsid w:val="00B7053E"/>
    <w:rsid w:val="00B81BAC"/>
    <w:rsid w:val="00BA1209"/>
    <w:rsid w:val="00BC2CA6"/>
    <w:rsid w:val="00BD3703"/>
    <w:rsid w:val="00C0290F"/>
    <w:rsid w:val="00C05CC1"/>
    <w:rsid w:val="00C131B6"/>
    <w:rsid w:val="00C36279"/>
    <w:rsid w:val="00C66E88"/>
    <w:rsid w:val="00C71326"/>
    <w:rsid w:val="00C8796B"/>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User1</cp:lastModifiedBy>
  <cp:revision>4</cp:revision>
  <cp:lastPrinted>2012-09-25T18:25:00Z</cp:lastPrinted>
  <dcterms:created xsi:type="dcterms:W3CDTF">2012-09-25T20:14:00Z</dcterms:created>
  <dcterms:modified xsi:type="dcterms:W3CDTF">2012-09-25T22:46:00Z</dcterms:modified>
</cp:coreProperties>
</file>