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4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961"/>
        <w:gridCol w:w="2842"/>
        <w:gridCol w:w="3135"/>
        <w:gridCol w:w="1879"/>
      </w:tblGrid>
      <w:tr w:rsidR="00A30084" w:rsidTr="00CA675C">
        <w:trPr>
          <w:trHeight w:val="27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Default="00A30084" w:rsidP="00CA675C">
            <w:pPr>
              <w:spacing w:line="240" w:lineRule="auto"/>
              <w:contextualSpacing/>
            </w:pPr>
            <w:r>
              <w:t>Student Name: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  <w:r w:rsidRPr="00541F8C">
              <w:rPr>
                <w:rFonts w:ascii="Microsoft Sans Serif" w:eastAsia="Times New Roman" w:hAnsi="Microsoft Sans Serif" w:cs="Microsoft Sans Serif"/>
              </w:rPr>
              <w:t>Date: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541F8C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30084" w:rsidTr="00CA675C">
        <w:trPr>
          <w:trHeight w:val="639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CA675C">
            <w:r>
              <w:t>Committee Member Name: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CB3DFB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A30084" w:rsidTr="00CA675C">
        <w:trPr>
          <w:trHeight w:val="90"/>
        </w:trPr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rPr>
                <w:sz w:val="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084" w:rsidRPr="00E10EB1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</w:tr>
      <w:tr w:rsidR="00A30084" w:rsidTr="00CA675C">
        <w:trPr>
          <w:trHeight w:val="872"/>
        </w:trPr>
        <w:tc>
          <w:tcPr>
            <w:tcW w:w="998" w:type="pct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Level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Expected Performance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vAlign w:val="bottom"/>
          </w:tcPr>
          <w:p w:rsidR="00A30084" w:rsidRPr="00A30084" w:rsidRDefault="00A30084" w:rsidP="0051587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Please circle the appr</w:t>
            </w:r>
            <w:r w:rsidR="00066DCF">
              <w:rPr>
                <w:rFonts w:ascii="Microsoft Sans Serif" w:eastAsia="Times New Roman" w:hAnsi="Microsoft Sans Serif" w:cs="Microsoft Sans Serif"/>
                <w:b/>
              </w:rPr>
              <w:t>opriate rating for each of the 9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 </w:t>
            </w:r>
            <w:r w:rsidR="00795BD8">
              <w:rPr>
                <w:rFonts w:ascii="Microsoft Sans Serif" w:eastAsia="Times New Roman" w:hAnsi="Microsoft Sans Serif" w:cs="Microsoft Sans Serif"/>
                <w:b/>
              </w:rPr>
              <w:t>level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s below </w:t>
            </w:r>
          </w:p>
        </w:tc>
        <w:tc>
          <w:tcPr>
            <w:tcW w:w="853" w:type="pct"/>
            <w:tcBorders>
              <w:top w:val="single" w:sz="4" w:space="0" w:color="auto"/>
            </w:tcBorders>
            <w:vAlign w:val="bottom"/>
          </w:tcPr>
          <w:p w:rsid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Comments</w:t>
            </w: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Literature Review</w:t>
            </w:r>
          </w:p>
          <w:p w:rsidR="00890D4C" w:rsidRPr="00D32D7D" w:rsidRDefault="0051587C" w:rsidP="00890D4C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  <w:p w:rsidR="00890D4C" w:rsidRPr="00D32D7D" w:rsidRDefault="0051587C" w:rsidP="00890D4C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  <w:p w:rsidR="00890D4C" w:rsidRPr="00A30084" w:rsidRDefault="00890D4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Comprehensive &amp; up to date. Contextualizes the problem. Selective, analytical, and thematic.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articulates gap in knowledge being addressed by the dissertation. 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If relevant, contains table of key papers addressing topic, showing estimates of association.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Contains conceptual framework. 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states research questions.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Methods</w:t>
            </w:r>
          </w:p>
          <w:p w:rsidR="00890D4C" w:rsidRPr="00A30084" w:rsidRDefault="0051587C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Applies appropriate and rigorous methods.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Methods align with the research question/hypothesis and theory.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study groups.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Identifies study design.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measurements to be used.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Points out the advantages and disadvantages of each method/measurement used.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Analysis</w:t>
            </w:r>
          </w:p>
          <w:p w:rsidR="00890D4C" w:rsidRPr="00A30084" w:rsidRDefault="0051587C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Aligns with research questions/hypotheses.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Is replicable.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EF53A8" w:rsidTr="00CA675C">
        <w:tc>
          <w:tcPr>
            <w:tcW w:w="998" w:type="pct"/>
          </w:tcPr>
          <w:p w:rsidR="00EF53A8" w:rsidRDefault="00EF53A8" w:rsidP="00630F27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Discussion</w:t>
            </w:r>
          </w:p>
          <w:p w:rsidR="00EF53A8" w:rsidRDefault="00EF53A8" w:rsidP="00630F27">
            <w:pPr>
              <w:spacing w:before="100" w:beforeAutospacing="1" w:after="100" w:afterAutospacing="1" w:line="240" w:lineRule="auto"/>
              <w:ind w:left="720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SLO1</w:t>
            </w:r>
          </w:p>
        </w:tc>
        <w:tc>
          <w:tcPr>
            <w:tcW w:w="1726" w:type="pct"/>
            <w:gridSpan w:val="2"/>
          </w:tcPr>
          <w:p w:rsidR="00EF53A8" w:rsidRDefault="00EF53A8" w:rsidP="00EF53A8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Demonstrates critical understanding. Evaluation of results. </w:t>
            </w:r>
          </w:p>
          <w:p w:rsidR="00EF53A8" w:rsidRDefault="00EF53A8" w:rsidP="00EF53A8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Integration of results. </w:t>
            </w:r>
          </w:p>
          <w:p w:rsidR="00EF53A8" w:rsidRDefault="00EF53A8" w:rsidP="00EF53A8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Able to apply findings broadly. </w:t>
            </w:r>
          </w:p>
        </w:tc>
        <w:tc>
          <w:tcPr>
            <w:tcW w:w="1423" w:type="pct"/>
          </w:tcPr>
          <w:p w:rsidR="00EF53A8" w:rsidRPr="00890D4C" w:rsidRDefault="00EF53A8" w:rsidP="00630F2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EF53A8" w:rsidRPr="00890D4C" w:rsidRDefault="00EF53A8" w:rsidP="00630F2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EF53A8" w:rsidRDefault="00EF53A8" w:rsidP="00630F2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EF53A8" w:rsidRPr="00890D4C" w:rsidRDefault="00EF53A8" w:rsidP="00630F2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51587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EF53A8" w:rsidRPr="00A30084" w:rsidRDefault="00EF53A8" w:rsidP="00630F27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rPr>
          <w:trHeight w:val="845"/>
        </w:trPr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Original Contribution</w:t>
            </w:r>
          </w:p>
          <w:p w:rsidR="00890D4C" w:rsidRPr="00A30084" w:rsidRDefault="00890D4C" w:rsidP="0051587C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D32D7D">
              <w:rPr>
                <w:rFonts w:ascii="Microsoft Sans Serif" w:eastAsia="Times New Roman" w:hAnsi="Microsoft Sans Serif" w:cs="Microsoft Sans Serif"/>
                <w:sz w:val="22"/>
              </w:rPr>
              <w:t>SL</w:t>
            </w:r>
            <w:r w:rsidR="0051587C">
              <w:rPr>
                <w:rFonts w:ascii="Microsoft Sans Serif" w:eastAsia="Times New Roman" w:hAnsi="Microsoft Sans Serif" w:cs="Microsoft Sans Serif"/>
                <w:sz w:val="22"/>
              </w:rPr>
              <w:t>O</w:t>
            </w:r>
            <w:r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Expands or alters thinking of the field.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CA675C">
        <w:tc>
          <w:tcPr>
            <w:tcW w:w="998" w:type="pct"/>
          </w:tcPr>
          <w:p w:rsidR="00A30084" w:rsidRDefault="00954291" w:rsidP="00954291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>Nutrition</w:t>
            </w: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A30084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Pr="00A30084" w:rsidRDefault="0051587C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954291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CA675C">
        <w:tc>
          <w:tcPr>
            <w:tcW w:w="998" w:type="pct"/>
          </w:tcPr>
          <w:p w:rsidR="00A30084" w:rsidRDefault="00954291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Interdisciplinary</w:t>
            </w: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954291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Default="0051587C" w:rsidP="00D32D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 &amp; nutrition’s application to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 xml:space="preserve"> 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>specialty field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>(s)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890D4C" w:rsidTr="00CA675C">
        <w:tc>
          <w:tcPr>
            <w:tcW w:w="998" w:type="pct"/>
          </w:tcPr>
          <w:p w:rsidR="00890D4C" w:rsidRDefault="00890D4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lastRenderedPageBreak/>
              <w:t>Dissemination</w:t>
            </w:r>
          </w:p>
          <w:p w:rsidR="00890D4C" w:rsidRPr="00A30084" w:rsidRDefault="0051587C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7B0F6A">
              <w:rPr>
                <w:rFonts w:ascii="Microsoft Sans Serif" w:eastAsia="Times New Roman" w:hAnsi="Microsoft Sans Serif" w:cs="Microsoft Sans Serif"/>
                <w:sz w:val="22"/>
              </w:rPr>
              <w:t>7</w:t>
            </w:r>
          </w:p>
        </w:tc>
        <w:tc>
          <w:tcPr>
            <w:tcW w:w="1726" w:type="pct"/>
            <w:gridSpan w:val="2"/>
          </w:tcPr>
          <w:p w:rsidR="00EF53A8" w:rsidRDefault="00890D4C" w:rsidP="007B0F6A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>Communication is effective, skillfully presenting arguments in support of thesis.</w:t>
            </w:r>
            <w:r w:rsidR="007B0F6A">
              <w:rPr>
                <w:rFonts w:ascii="Microsoft Sans Serif" w:eastAsia="Times New Roman" w:hAnsi="Microsoft Sans Serif" w:cs="Microsoft Sans Serif"/>
                <w:sz w:val="20"/>
              </w:rPr>
              <w:t xml:space="preserve">  </w:t>
            </w:r>
          </w:p>
          <w:p w:rsidR="00890D4C" w:rsidRPr="00A30084" w:rsidRDefault="007B0F6A" w:rsidP="007B0F6A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>Responses to questions exhibit superior breadth and depth of knowledge in subject area.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890D4C" w:rsidRP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D32D7D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890D4C" w:rsidRPr="00A30084" w:rsidRDefault="00890D4C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51587C" w:rsidTr="00CA675C">
        <w:tc>
          <w:tcPr>
            <w:tcW w:w="998" w:type="pct"/>
          </w:tcPr>
          <w:p w:rsidR="0051587C" w:rsidRDefault="0051587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Research Ethics</w:t>
            </w:r>
          </w:p>
          <w:p w:rsidR="0051587C" w:rsidRDefault="0051587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ab/>
              <w:t>SLO6</w:t>
            </w:r>
          </w:p>
        </w:tc>
        <w:tc>
          <w:tcPr>
            <w:tcW w:w="1726" w:type="pct"/>
            <w:gridSpan w:val="2"/>
          </w:tcPr>
          <w:p w:rsidR="0051587C" w:rsidRDefault="0051587C" w:rsidP="007B0F6A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Demonstrates honesty, objectivity, integrity, carefulness, openness, confidentiality, responsibility, competence </w:t>
            </w:r>
            <w:r w:rsidR="00F634CB">
              <w:rPr>
                <w:rFonts w:ascii="Microsoft Sans Serif" w:eastAsia="Times New Roman" w:hAnsi="Microsoft Sans Serif" w:cs="Microsoft Sans Serif"/>
                <w:sz w:val="20"/>
              </w:rPr>
              <w:t>and protection of participant rights</w:t>
            </w: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 </w:t>
            </w:r>
          </w:p>
        </w:tc>
        <w:tc>
          <w:tcPr>
            <w:tcW w:w="1423" w:type="pct"/>
          </w:tcPr>
          <w:p w:rsidR="0051587C" w:rsidRPr="00890D4C" w:rsidRDefault="0051587C" w:rsidP="0051587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51587C" w:rsidRPr="00890D4C" w:rsidRDefault="0051587C" w:rsidP="0051587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51587C" w:rsidRDefault="0051587C" w:rsidP="0051587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51587C" w:rsidRPr="0051587C" w:rsidRDefault="0051587C" w:rsidP="0051587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51587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51587C" w:rsidRPr="00A30084" w:rsidRDefault="0051587C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</w:tbl>
    <w:p w:rsidR="00A30084" w:rsidRPr="00273F4C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  <w:r w:rsidRPr="00273F4C">
        <w:rPr>
          <w:rFonts w:ascii="Microsoft Sans Serif" w:eastAsia="Times New Roman" w:hAnsi="Microsoft Sans Serif" w:cs="Microsoft Sans Serif"/>
          <w:sz w:val="20"/>
        </w:rPr>
        <w:t>Modified from material developed by the University of Hawai</w:t>
      </w:r>
      <w:r w:rsidRPr="00273F4C">
        <w:rPr>
          <w:rFonts w:ascii="Calibri" w:eastAsia="Times New Roman" w:hAnsi="Calibri" w:cs="Microsoft Sans Serif"/>
          <w:sz w:val="20"/>
        </w:rPr>
        <w:t>ʻ</w:t>
      </w:r>
      <w:r w:rsidRPr="00273F4C">
        <w:rPr>
          <w:rFonts w:ascii="Microsoft Sans Serif" w:eastAsia="Times New Roman" w:hAnsi="Microsoft Sans Serif" w:cs="Microsoft Sans Serif"/>
          <w:sz w:val="20"/>
        </w:rPr>
        <w:t>i at Mānoa Assessment Office</w:t>
      </w:r>
    </w:p>
    <w:p w:rsidR="00A30084" w:rsidRPr="00A30084" w:rsidRDefault="00A30084" w:rsidP="00A30084">
      <w:pPr>
        <w:rPr>
          <w:rFonts w:ascii="Microsoft Sans Serif" w:hAnsi="Microsoft Sans Serif" w:cs="Microsoft Sans Serif"/>
          <w:b/>
          <w:sz w:val="20"/>
        </w:rPr>
      </w:pPr>
    </w:p>
    <w:p w:rsidR="00541F8C" w:rsidRDefault="00A30084" w:rsidP="00A30084">
      <w:pPr>
        <w:spacing w:line="240" w:lineRule="auto"/>
        <w:contextualSpacing/>
      </w:pPr>
      <w:r w:rsidRPr="00A30084">
        <w:rPr>
          <w:rFonts w:ascii="Microsoft Sans Serif" w:eastAsia="Times New Roman" w:hAnsi="Microsoft Sans Serif" w:cs="Microsoft Sans Serif"/>
          <w:sz w:val="20"/>
        </w:rPr>
        <w:t>* A student is considered to have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passed the examination if all </w:t>
      </w:r>
      <w:r w:rsidR="00066DCF">
        <w:rPr>
          <w:rFonts w:ascii="Microsoft Sans Serif" w:eastAsia="Times New Roman" w:hAnsi="Microsoft Sans Serif" w:cs="Microsoft Sans Serif"/>
          <w:sz w:val="20"/>
        </w:rPr>
        <w:t>9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levels (literature review, methods, analysis, </w:t>
      </w:r>
      <w:r w:rsidR="00EF53A8">
        <w:rPr>
          <w:rFonts w:ascii="Microsoft Sans Serif" w:eastAsia="Times New Roman" w:hAnsi="Microsoft Sans Serif" w:cs="Microsoft Sans Serif"/>
          <w:sz w:val="20"/>
        </w:rPr>
        <w:t xml:space="preserve">discussion, </w:t>
      </w:r>
      <w:bookmarkStart w:id="0" w:name="_GoBack"/>
      <w:bookmarkEnd w:id="0"/>
      <w:r w:rsidRPr="00A30084">
        <w:rPr>
          <w:rFonts w:ascii="Microsoft Sans Serif" w:eastAsia="Times New Roman" w:hAnsi="Microsoft Sans Serif" w:cs="Microsoft Sans Serif"/>
          <w:sz w:val="20"/>
        </w:rPr>
        <w:t>original contribution, interdisciplinary knowledge</w:t>
      </w:r>
      <w:r w:rsidR="00D32D7D">
        <w:rPr>
          <w:rFonts w:ascii="Microsoft Sans Serif" w:eastAsia="Times New Roman" w:hAnsi="Microsoft Sans Serif" w:cs="Microsoft Sans Serif"/>
          <w:sz w:val="20"/>
        </w:rPr>
        <w:t>,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nutrition knowledge</w:t>
      </w:r>
      <w:r w:rsidR="00130AEC">
        <w:rPr>
          <w:rFonts w:ascii="Microsoft Sans Serif" w:eastAsia="Times New Roman" w:hAnsi="Microsoft Sans Serif" w:cs="Microsoft Sans Serif"/>
          <w:sz w:val="20"/>
        </w:rPr>
        <w:t>,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dissemination</w:t>
      </w:r>
      <w:r w:rsidR="00130AEC">
        <w:rPr>
          <w:rFonts w:ascii="Microsoft Sans Serif" w:eastAsia="Times New Roman" w:hAnsi="Microsoft Sans Serif" w:cs="Microsoft Sans Serif"/>
          <w:sz w:val="20"/>
        </w:rPr>
        <w:t>, and research ethics</w:t>
      </w:r>
      <w:r w:rsidRPr="00A30084">
        <w:rPr>
          <w:rFonts w:ascii="Microsoft Sans Serif" w:eastAsia="Times New Roman" w:hAnsi="Microsoft Sans Serif" w:cs="Microsoft Sans Serif"/>
          <w:sz w:val="20"/>
        </w:rPr>
        <w:t>) are given a 3 (Me</w:t>
      </w:r>
      <w:r w:rsidR="00D32D7D">
        <w:rPr>
          <w:rFonts w:ascii="Microsoft Sans Serif" w:eastAsia="Times New Roman" w:hAnsi="Microsoft Sans Serif" w:cs="Microsoft Sans Serif"/>
          <w:sz w:val="20"/>
        </w:rPr>
        <w:t>e</w:t>
      </w:r>
      <w:r w:rsidRPr="00A30084">
        <w:rPr>
          <w:rFonts w:ascii="Microsoft Sans Serif" w:eastAsia="Times New Roman" w:hAnsi="Microsoft Sans Serif" w:cs="Microsoft Sans Serif"/>
          <w:sz w:val="20"/>
        </w:rPr>
        <w:t>t</w:t>
      </w:r>
      <w:r w:rsidR="00D32D7D">
        <w:rPr>
          <w:rFonts w:ascii="Microsoft Sans Serif" w:eastAsia="Times New Roman" w:hAnsi="Microsoft Sans Serif" w:cs="Microsoft Sans Serif"/>
          <w:sz w:val="20"/>
        </w:rPr>
        <w:t>s</w:t>
      </w:r>
      <w:r w:rsidRPr="00A30084">
        <w:rPr>
          <w:rFonts w:ascii="Microsoft Sans Serif" w:eastAsia="Times New Roman" w:hAnsi="Microsoft Sans Serif" w:cs="Microsoft Sans Serif"/>
          <w:sz w:val="20"/>
        </w:rPr>
        <w:t>) or above (4 = Exceeds) with no more than one 2 (</w:t>
      </w:r>
      <w:r w:rsidR="00D32D7D">
        <w:rPr>
          <w:rFonts w:ascii="Microsoft Sans Serif" w:eastAsia="Times New Roman" w:hAnsi="Microsoft Sans Serif" w:cs="Microsoft Sans Serif"/>
          <w:sz w:val="20"/>
        </w:rPr>
        <w:t>Marginal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) designation. Scoring is completed as a mean of all committee members. The student’s advisor will be responsible for adding Advisory committee member scores. </w:t>
      </w:r>
    </w:p>
    <w:sectPr w:rsidR="00541F8C" w:rsidSect="00A300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3A" w:rsidRDefault="00CB1E3A" w:rsidP="00541F8C">
      <w:pPr>
        <w:spacing w:line="240" w:lineRule="auto"/>
      </w:pPr>
      <w:r>
        <w:separator/>
      </w:r>
    </w:p>
  </w:endnote>
  <w:endnote w:type="continuationSeparator" w:id="0">
    <w:p w:rsidR="00CB1E3A" w:rsidRDefault="00CB1E3A" w:rsidP="0054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8C" w:rsidRDefault="00541F8C" w:rsidP="00541F8C">
    <w:pPr>
      <w:pStyle w:val="Footer"/>
      <w:jc w:val="right"/>
    </w:pPr>
    <w:r>
      <w:t xml:space="preserve">Drafted </w:t>
    </w:r>
    <w:r w:rsidR="00066DCF">
      <w:t>October 10</w:t>
    </w:r>
    <w:r w:rsidR="00130AEC"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3A" w:rsidRDefault="00CB1E3A" w:rsidP="00541F8C">
      <w:pPr>
        <w:spacing w:line="240" w:lineRule="auto"/>
      </w:pPr>
      <w:r>
        <w:separator/>
      </w:r>
    </w:p>
  </w:footnote>
  <w:footnote w:type="continuationSeparator" w:id="0">
    <w:p w:rsidR="00CB1E3A" w:rsidRDefault="00CB1E3A" w:rsidP="00541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B1" w:rsidRPr="00E10EB1" w:rsidRDefault="006E198C" w:rsidP="00A30084">
    <w:pPr>
      <w:spacing w:line="240" w:lineRule="auto"/>
      <w:contextualSpacing/>
      <w:jc w:val="center"/>
      <w:rPr>
        <w:rFonts w:ascii="Microsoft Sans Serif" w:eastAsia="Times New Roman" w:hAnsi="Microsoft Sans Serif" w:cs="Microsoft Sans Serif"/>
        <w:b/>
      </w:rPr>
    </w:pPr>
    <w:r>
      <w:rPr>
        <w:rFonts w:ascii="Microsoft Sans Serif" w:eastAsia="Times New Roman" w:hAnsi="Microsoft Sans Serif" w:cs="Microsoft Sans Serif"/>
        <w:b/>
      </w:rPr>
      <w:t xml:space="preserve">Intercollege </w:t>
    </w:r>
    <w:r w:rsidR="00E10EB1">
      <w:rPr>
        <w:rFonts w:ascii="Microsoft Sans Serif" w:eastAsia="Times New Roman" w:hAnsi="Microsoft Sans Serif" w:cs="Microsoft Sans Serif"/>
        <w:b/>
      </w:rPr>
      <w:t>Nutrition</w:t>
    </w:r>
    <w:r>
      <w:rPr>
        <w:rFonts w:ascii="Microsoft Sans Serif" w:eastAsia="Times New Roman" w:hAnsi="Microsoft Sans Serif" w:cs="Microsoft Sans Serif"/>
        <w:b/>
      </w:rPr>
      <w:t xml:space="preserve"> PhD</w:t>
    </w:r>
    <w:r w:rsidR="00E10EB1">
      <w:rPr>
        <w:rFonts w:ascii="Microsoft Sans Serif" w:eastAsia="Times New Roman" w:hAnsi="Microsoft Sans Serif" w:cs="Microsoft Sans Serif"/>
        <w:b/>
      </w:rPr>
      <w:t xml:space="preserve"> Program </w:t>
    </w:r>
    <w:r w:rsidR="00E10EB1" w:rsidRPr="00CB3DFB">
      <w:rPr>
        <w:rFonts w:ascii="Microsoft Sans Serif" w:eastAsia="Times New Roman" w:hAnsi="Microsoft Sans Serif" w:cs="Microsoft Sans Serif"/>
        <w:b/>
      </w:rPr>
      <w:t xml:space="preserve">Dissertation </w:t>
    </w:r>
    <w:r w:rsidR="0051587C">
      <w:rPr>
        <w:rFonts w:ascii="Microsoft Sans Serif" w:eastAsia="Times New Roman" w:hAnsi="Microsoft Sans Serif" w:cs="Microsoft Sans Serif"/>
        <w:b/>
      </w:rPr>
      <w:t>Defense</w:t>
    </w:r>
    <w:r w:rsidR="00E10EB1" w:rsidRPr="00CB3DFB">
      <w:rPr>
        <w:rFonts w:ascii="Microsoft Sans Serif" w:eastAsia="Times New Roman" w:hAnsi="Microsoft Sans Serif" w:cs="Microsoft Sans Serif"/>
        <w:b/>
      </w:rP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881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3DF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5C33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CA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5884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216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4932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533B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3DE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3A2E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8C"/>
    <w:rsid w:val="000275E9"/>
    <w:rsid w:val="00066DCF"/>
    <w:rsid w:val="00130AEC"/>
    <w:rsid w:val="0018658F"/>
    <w:rsid w:val="00253CFD"/>
    <w:rsid w:val="00291CB8"/>
    <w:rsid w:val="002C6A5D"/>
    <w:rsid w:val="00474911"/>
    <w:rsid w:val="0051587C"/>
    <w:rsid w:val="00541F8C"/>
    <w:rsid w:val="005E3890"/>
    <w:rsid w:val="006E198C"/>
    <w:rsid w:val="00712D59"/>
    <w:rsid w:val="00792AAF"/>
    <w:rsid w:val="00795BD8"/>
    <w:rsid w:val="007B0F6A"/>
    <w:rsid w:val="00810505"/>
    <w:rsid w:val="00890D4C"/>
    <w:rsid w:val="00954291"/>
    <w:rsid w:val="00A30084"/>
    <w:rsid w:val="00BB3409"/>
    <w:rsid w:val="00C07BA8"/>
    <w:rsid w:val="00C07E09"/>
    <w:rsid w:val="00CB1A36"/>
    <w:rsid w:val="00CB1E3A"/>
    <w:rsid w:val="00D32D7D"/>
    <w:rsid w:val="00DA6DE4"/>
    <w:rsid w:val="00E10EB1"/>
    <w:rsid w:val="00EB6971"/>
    <w:rsid w:val="00EF53A8"/>
    <w:rsid w:val="00F634CB"/>
    <w:rsid w:val="00F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8C"/>
    <w:pPr>
      <w:spacing w:line="276" w:lineRule="auto"/>
      <w:jc w:val="left"/>
    </w:pPr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8C"/>
    <w:pPr>
      <w:ind w:left="720"/>
      <w:contextualSpacing/>
    </w:pPr>
  </w:style>
  <w:style w:type="table" w:styleId="TableGrid">
    <w:name w:val="Table Grid"/>
    <w:basedOn w:val="TableNormal"/>
    <w:uiPriority w:val="59"/>
    <w:rsid w:val="0054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8C"/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8C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8C"/>
    <w:pPr>
      <w:spacing w:line="276" w:lineRule="auto"/>
      <w:jc w:val="left"/>
    </w:pPr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8C"/>
    <w:pPr>
      <w:ind w:left="720"/>
      <w:contextualSpacing/>
    </w:pPr>
  </w:style>
  <w:style w:type="table" w:styleId="TableGrid">
    <w:name w:val="Table Grid"/>
    <w:basedOn w:val="TableNormal"/>
    <w:uiPriority w:val="59"/>
    <w:rsid w:val="0054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8C"/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8C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Fialkowski</dc:creator>
  <cp:lastModifiedBy>Marie Fialkowski</cp:lastModifiedBy>
  <cp:revision>2</cp:revision>
  <cp:lastPrinted>2014-09-29T17:44:00Z</cp:lastPrinted>
  <dcterms:created xsi:type="dcterms:W3CDTF">2014-10-11T03:12:00Z</dcterms:created>
  <dcterms:modified xsi:type="dcterms:W3CDTF">2014-10-11T03:12:00Z</dcterms:modified>
</cp:coreProperties>
</file>